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171720" w:rsidRPr="00401BEC" w14:paraId="23C8DF49" w14:textId="77777777" w:rsidTr="00171720">
        <w:tc>
          <w:tcPr>
            <w:tcW w:w="0" w:type="auto"/>
            <w:shd w:val="clear" w:color="auto" w:fill="FFFFFF"/>
            <w:tcMar>
              <w:top w:w="360" w:type="dxa"/>
              <w:left w:w="0" w:type="dxa"/>
              <w:bottom w:w="240" w:type="dxa"/>
              <w:right w:w="0" w:type="dxa"/>
            </w:tcMar>
            <w:vAlign w:val="center"/>
            <w:hideMark/>
          </w:tcPr>
          <w:tbl>
            <w:tblPr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9279"/>
            </w:tblGrid>
            <w:tr w:rsidR="00171720" w:rsidRPr="00401BEC" w14:paraId="49C81CB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DADCE0"/>
                      <w:left w:val="single" w:sz="6" w:space="0" w:color="DADCE0"/>
                      <w:bottom w:val="single" w:sz="6" w:space="0" w:color="DADCE0"/>
                      <w:right w:val="single" w:sz="6" w:space="0" w:color="DADCE0"/>
                    </w:tblBorders>
                    <w:tblLook w:val="04A0" w:firstRow="1" w:lastRow="0" w:firstColumn="1" w:lastColumn="0" w:noHBand="0" w:noVBand="1"/>
                  </w:tblPr>
                  <w:tblGrid>
                    <w:gridCol w:w="9279"/>
                  </w:tblGrid>
                  <w:tr w:rsidR="00171720" w:rsidRPr="00401BEC" w14:paraId="594D88F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1" w:type="dxa"/>
                          <w:left w:w="551" w:type="dxa"/>
                          <w:bottom w:w="551" w:type="dxa"/>
                          <w:right w:w="551" w:type="dxa"/>
                        </w:tcMar>
                        <w:vAlign w:val="center"/>
                      </w:tcPr>
                      <w:p w14:paraId="0DBBD7A7" w14:textId="335DD911" w:rsidR="00171720" w:rsidRPr="00401BEC" w:rsidRDefault="00401BEC" w:rsidP="005B222E">
                        <w:pPr>
                          <w:spacing w:after="0" w:line="240" w:lineRule="auto"/>
                          <w:jc w:val="center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eastAsia="Calibri" w:hAnsi="Lato" w:cs="Arial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1C4D4916" wp14:editId="3068FE86">
                              <wp:extent cx="2006600" cy="1148435"/>
                              <wp:effectExtent l="0" t="0" r="0" b="0"/>
                              <wp:docPr id="423861369" name="Picture 1" descr="A logo with orange and blue tex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3861369" name="Picture 1" descr="A logo with orange and blue text&#10;&#10;Description automatically generated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11674" cy="11513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71720" w:rsidRPr="00401BEC"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p w14:paraId="7A4CCD6C" w14:textId="325D3EB0" w:rsidR="00171720" w:rsidRPr="00401BEC" w:rsidRDefault="00171720" w:rsidP="00171720">
                        <w:pPr>
                          <w:spacing w:after="0" w:line="240" w:lineRule="auto"/>
                          <w:jc w:val="center"/>
                          <w:rPr>
                            <w:rFonts w:ascii="Lato" w:eastAsia="Calibri" w:hAnsi="Lato" w:cs="Arial"/>
                            <w:b/>
                            <w:bCs/>
                            <w:color w:val="ED7D31" w:themeColor="accent2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b/>
                            <w:bCs/>
                            <w:color w:val="ED7D31" w:themeColor="accent2"/>
                            <w:sz w:val="24"/>
                            <w:szCs w:val="24"/>
                          </w:rPr>
                          <w:t>GRANT APPLICATION</w:t>
                        </w:r>
                        <w:r w:rsidR="00401BEC">
                          <w:rPr>
                            <w:rFonts w:ascii="Lato" w:eastAsia="Calibri" w:hAnsi="Lato" w:cs="Arial"/>
                            <w:b/>
                            <w:bCs/>
                            <w:color w:val="ED7D31" w:themeColor="accent2"/>
                            <w:sz w:val="24"/>
                            <w:szCs w:val="24"/>
                          </w:rPr>
                          <w:br/>
                        </w:r>
                      </w:p>
                      <w:p w14:paraId="6F71AB6E" w14:textId="6D101BA8" w:rsidR="00171720" w:rsidRPr="00401BEC" w:rsidRDefault="00171720" w:rsidP="00171720">
                        <w:pPr>
                          <w:spacing w:after="0" w:line="240" w:lineRule="auto"/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About the Portage Area Community Fund</w:t>
                        </w:r>
                        <w:r w:rsidR="00401BEC" w:rsidRPr="00401BEC"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p w14:paraId="76CA9D42" w14:textId="72962C58" w:rsidR="00171720" w:rsidRDefault="00171720" w:rsidP="00171720">
                        <w:pPr>
                          <w:spacing w:after="0" w:line="240" w:lineRule="auto"/>
                          <w:jc w:val="both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The Portage Area Community Fund</w:t>
                        </w:r>
                        <w:r w:rsidR="005F6067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(PACF) was established in 2016 and is a regional giving partner of</w:t>
                        </w:r>
                        <w:r w:rsid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Madison Community Foundation. We are dedicated to enhancing the quality of life in the greater Portage area for present and future generations. T</w:t>
                        </w:r>
                        <w:r w:rsidR="00A444F2"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e PACF Advisory Committee is composed of residents from the Portage area. The Committee reviews all grants.</w:t>
                        </w:r>
                      </w:p>
                      <w:p w14:paraId="7547F545" w14:textId="77777777" w:rsidR="00401BEC" w:rsidRPr="00401BEC" w:rsidRDefault="00401BEC" w:rsidP="00171720">
                        <w:pPr>
                          <w:spacing w:after="0" w:line="240" w:lineRule="auto"/>
                          <w:jc w:val="both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55FFE862" w14:textId="77777777" w:rsidR="00171720" w:rsidRPr="00401BEC" w:rsidRDefault="00171720" w:rsidP="00171720">
                        <w:pPr>
                          <w:spacing w:after="0" w:line="240" w:lineRule="auto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Who Is Eligible for Grants</w:t>
                        </w: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5582D7BC" w14:textId="17899BA4" w:rsidR="00171720" w:rsidRPr="00401BEC" w:rsidRDefault="00171720" w:rsidP="0017172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PACF grants are limited to institutions that serve people residing in the Portage School District area and are qualified under 501(c)(3) nonprofit status. </w:t>
                        </w:r>
                      </w:p>
                      <w:p w14:paraId="179B22DD" w14:textId="77777777" w:rsidR="00171720" w:rsidRPr="00401BEC" w:rsidRDefault="00171720" w:rsidP="0017172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Key interest areas </w:t>
                        </w:r>
                        <w:proofErr w:type="gramStart"/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include:</w:t>
                        </w:r>
                        <w:proofErr w:type="gramEnd"/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 civic and cultural enrichment, natural and historic preservation, parks and recreation, community development, youth and educational resources, and the needs of the community in the Portage area.</w:t>
                        </w:r>
                      </w:p>
                      <w:p w14:paraId="35952A6A" w14:textId="77777777" w:rsidR="00171720" w:rsidRDefault="00171720" w:rsidP="0017172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PACF does not fund endowments, loans or re-grant programs, multi-year commitments, religious activities, individuals or groups without the 501(c)(3) designation, other foundations, organizations that practice discrimination, political activities or travel expenses. </w:t>
                        </w:r>
                      </w:p>
                      <w:p w14:paraId="3918D7B0" w14:textId="77777777" w:rsidR="00401BEC" w:rsidRPr="00401BEC" w:rsidRDefault="00401BEC" w:rsidP="00401BEC">
                        <w:pPr>
                          <w:spacing w:after="0" w:line="240" w:lineRule="auto"/>
                          <w:ind w:left="720"/>
                          <w:jc w:val="both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3688EBD7" w14:textId="77777777" w:rsidR="00171720" w:rsidRPr="00401BEC" w:rsidRDefault="00171720" w:rsidP="00171720">
                        <w:pPr>
                          <w:spacing w:after="0" w:line="240" w:lineRule="auto"/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Grant Guidelines:</w:t>
                        </w:r>
                      </w:p>
                      <w:p w14:paraId="3DCC6DF3" w14:textId="10AE8FE5" w:rsidR="00171720" w:rsidRPr="00401BEC" w:rsidRDefault="00171720" w:rsidP="0017172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bookmarkStart w:id="0" w:name="_Hlk197416231"/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Grants generally range from $</w:t>
                        </w:r>
                        <w:r w:rsidR="007039F9"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00 - $1,000</w:t>
                        </w:r>
                        <w:r w:rsidR="0053056D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 and the total grant awards distributed annually equal approximately $3,000.</w:t>
                        </w:r>
                      </w:p>
                      <w:p w14:paraId="66A2CAC2" w14:textId="67F5128B" w:rsidR="00171720" w:rsidRPr="00401BEC" w:rsidRDefault="00171720" w:rsidP="0017172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bookmarkStart w:id="1" w:name="_Hlk197441807"/>
                        <w:bookmarkEnd w:id="0"/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Grant </w:t>
                        </w:r>
                        <w:r w:rsidR="00A444F2"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Application deadline is </w:t>
                        </w:r>
                        <w:r w:rsidR="00BC474E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August 31st</w:t>
                        </w:r>
                        <w:r w:rsidR="00C6789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 annually</w:t>
                        </w:r>
                      </w:p>
                      <w:bookmarkEnd w:id="1"/>
                      <w:p w14:paraId="0E495942" w14:textId="77777777" w:rsidR="00171720" w:rsidRPr="00401BEC" w:rsidRDefault="00171720" w:rsidP="0017172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Grants must include a cover page, narrative and budget.</w:t>
                        </w:r>
                      </w:p>
                      <w:p w14:paraId="2EF1F838" w14:textId="77777777" w:rsidR="00171720" w:rsidRPr="00401BEC" w:rsidRDefault="00171720" w:rsidP="0017172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Grant recipients are limited to 1 grant per 12 months.</w:t>
                        </w:r>
                      </w:p>
                      <w:p w14:paraId="13CC3B83" w14:textId="02832A96" w:rsidR="00171720" w:rsidRPr="00401BEC" w:rsidRDefault="00171720" w:rsidP="0017172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PACF does not practice legacy grants, which support the same program year after year.</w:t>
                        </w:r>
                        <w:r w:rsidR="00E0630B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p w14:paraId="1D13C8CA" w14:textId="77777777" w:rsidR="00171720" w:rsidRPr="00E0630B" w:rsidRDefault="00171720" w:rsidP="00171720">
                        <w:pPr>
                          <w:spacing w:after="0" w:line="240" w:lineRule="auto"/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0630B"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Types of Grants:</w:t>
                        </w:r>
                      </w:p>
                      <w:p w14:paraId="1B0AA9B4" w14:textId="77777777" w:rsidR="00171720" w:rsidRPr="00401BEC" w:rsidRDefault="00171720" w:rsidP="0017172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General support grants that provide financial support to the organization’s overall mission, goals and budget.</w:t>
                        </w:r>
                      </w:p>
                      <w:p w14:paraId="031D1A56" w14:textId="77777777" w:rsidR="00171720" w:rsidRPr="00401BEC" w:rsidRDefault="00171720" w:rsidP="0017172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Program grants that support new programs or expansion of existing programs that have a track record of success</w:t>
                        </w:r>
                      </w:p>
                      <w:p w14:paraId="0E8814B6" w14:textId="77777777" w:rsidR="00171720" w:rsidRPr="00E0630B" w:rsidRDefault="00171720" w:rsidP="0017172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E0630B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lastRenderedPageBreak/>
                          <w:t>Capital grants that support construction or purchase of facilities, land, vehicles, or equipment</w:t>
                        </w:r>
                        <w:r w:rsidRPr="00401BEC">
                          <w:rPr>
                            <w:rFonts w:ascii="Lato" w:eastAsia="Times New Roman" w:hAnsi="Lato" w:cs="Arial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55B6627B" w14:textId="77777777" w:rsidR="00E0630B" w:rsidRPr="00401BEC" w:rsidRDefault="00E0630B" w:rsidP="00E0630B">
                        <w:pPr>
                          <w:spacing w:after="0" w:line="240" w:lineRule="auto"/>
                          <w:ind w:left="720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158F37D4" w14:textId="77777777" w:rsidR="00171720" w:rsidRPr="00E0630B" w:rsidRDefault="00171720" w:rsidP="00171720">
                        <w:pPr>
                          <w:spacing w:after="0" w:line="240" w:lineRule="auto"/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0630B"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Application Process:</w:t>
                        </w:r>
                      </w:p>
                      <w:p w14:paraId="325D82DA" w14:textId="77777777" w:rsidR="00171720" w:rsidRPr="00401BEC" w:rsidRDefault="00171720" w:rsidP="00171720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Complete this page plus up to one page of narrative.</w:t>
                        </w:r>
                      </w:p>
                      <w:p w14:paraId="4871BFEF" w14:textId="77777777" w:rsidR="00171720" w:rsidRPr="00401BEC" w:rsidRDefault="00171720" w:rsidP="00171720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Incomplete applications will not be considered.</w:t>
                        </w:r>
                      </w:p>
                      <w:p w14:paraId="4EDD0C64" w14:textId="34A5680A" w:rsidR="00171720" w:rsidRPr="00401BEC" w:rsidRDefault="00171720" w:rsidP="00171720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Include proof of 50</w:t>
                        </w:r>
                        <w:r w:rsidR="00C6789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(c)(3) and a roster of organization</w:t>
                        </w:r>
                        <w:r w:rsidR="00C6789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’</w:t>
                        </w: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s board members.</w:t>
                        </w:r>
                      </w:p>
                      <w:p w14:paraId="113126A2" w14:textId="3BD97130" w:rsidR="00171720" w:rsidRPr="00A16E34" w:rsidRDefault="00171720" w:rsidP="00171720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Mail </w:t>
                        </w:r>
                        <w:r w:rsid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or email </w:t>
                        </w:r>
                        <w:r w:rsidRP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application to</w:t>
                        </w:r>
                        <w:r w:rsidR="00C6789C" w:rsidRP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Sandy Gunderson, </w:t>
                        </w:r>
                        <w:r w:rsidR="00A16E34" w:rsidRP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2900 Forest Hill Drive</w:t>
                        </w:r>
                        <w:r w:rsid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, Portage, WI </w:t>
                        </w:r>
                        <w:r w:rsidR="00A16E34" w:rsidRP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53901-1283</w:t>
                        </w:r>
                        <w:r w:rsid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 or </w:t>
                        </w:r>
                        <w:hyperlink r:id="rId6" w:history="1">
                          <w:r w:rsidR="00A16E34" w:rsidRPr="00335F97">
                            <w:rPr>
                              <w:rStyle w:val="Hyperlink"/>
                              <w:rFonts w:ascii="Lato" w:eastAsia="Times New Roman" w:hAnsi="Lato" w:cs="Arial"/>
                              <w:sz w:val="24"/>
                              <w:szCs w:val="24"/>
                            </w:rPr>
                            <w:t>sandragunderson@gmail.com</w:t>
                          </w:r>
                        </w:hyperlink>
                        <w:r w:rsidR="00A16E34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5A3C136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……………………………………………………………………………</w:t>
                        </w:r>
                      </w:p>
                      <w:p w14:paraId="3E86057A" w14:textId="77777777" w:rsidR="00A437C1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 xml:space="preserve">Date: ______________ </w:t>
                        </w:r>
                      </w:p>
                      <w:p w14:paraId="1637FC7A" w14:textId="2A634CCC" w:rsidR="00F549BB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p w14:paraId="7CDD8F36" w14:textId="40F24AB5" w:rsidR="00171720" w:rsidRPr="00A437C1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proofErr w:type="gramStart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Organization:_</w:t>
                        </w:r>
                        <w:proofErr w:type="gramEnd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______________________</w:t>
                        </w:r>
                      </w:p>
                      <w:p w14:paraId="5ACC01FA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Contact Person/</w:t>
                        </w:r>
                        <w:proofErr w:type="gramStart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Title:_</w:t>
                        </w:r>
                        <w:proofErr w:type="gramEnd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_____________________Email:___________________________</w:t>
                        </w:r>
                      </w:p>
                      <w:p w14:paraId="5F74BB4B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 xml:space="preserve">Street </w:t>
                        </w:r>
                        <w:proofErr w:type="gramStart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Address:_</w:t>
                        </w:r>
                        <w:proofErr w:type="gramEnd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________________ City:______________ State:________ Zip______</w:t>
                        </w:r>
                      </w:p>
                      <w:p w14:paraId="1C422688" w14:textId="77777777" w:rsidR="00F549BB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Telephone:_</w:t>
                        </w:r>
                        <w:proofErr w:type="gramEnd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_____________  </w:t>
                        </w:r>
                      </w:p>
                      <w:p w14:paraId="30CCF3AB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 xml:space="preserve">Organization </w:t>
                        </w:r>
                        <w:proofErr w:type="gramStart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Website:_</w:t>
                        </w:r>
                        <w:proofErr w:type="gramEnd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______________________</w:t>
                        </w:r>
                      </w:p>
                      <w:p w14:paraId="41ACACCE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 xml:space="preserve">Project Name: _________________________ </w:t>
                        </w:r>
                        <w:proofErr w:type="gramStart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Duration:_</w:t>
                        </w:r>
                        <w:proofErr w:type="gramEnd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___________________</w:t>
                        </w:r>
                      </w:p>
                      <w:p w14:paraId="3F86967B" w14:textId="77777777" w:rsidR="00EF55EB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Total project</w:t>
                        </w:r>
                        <w:r w:rsidR="00A444F2"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e</w:t>
                        </w: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 xml:space="preserve">d budget: _______________ </w:t>
                        </w:r>
                      </w:p>
                      <w:p w14:paraId="186E31D5" w14:textId="6E5EA255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 xml:space="preserve">Total amount </w:t>
                        </w:r>
                        <w:proofErr w:type="gramStart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requested:_</w:t>
                        </w:r>
                        <w:proofErr w:type="gramEnd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___________</w:t>
                        </w:r>
                      </w:p>
                      <w:p w14:paraId="567A676F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 xml:space="preserve">Total budget for organization’s last fiscal </w:t>
                        </w:r>
                        <w:proofErr w:type="gramStart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year:_</w:t>
                        </w:r>
                        <w:proofErr w:type="gramEnd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___________________________</w:t>
                        </w:r>
                      </w:p>
                      <w:p w14:paraId="30DEE9DD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 xml:space="preserve">Has the organization received funds in the past from </w:t>
                        </w:r>
                        <w:proofErr w:type="gramStart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PACF?_</w:t>
                        </w:r>
                        <w:proofErr w:type="gramEnd"/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_______________</w:t>
                        </w:r>
                      </w:p>
                      <w:p w14:paraId="72BE8345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Is this a new project?</w:t>
                        </w:r>
                      </w:p>
                      <w:p w14:paraId="11BEF2EB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Will the project move forward without this funding?</w:t>
                        </w:r>
                      </w:p>
                      <w:p w14:paraId="6579D6CB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Will you accept partial funding of this request?</w:t>
                        </w:r>
                      </w:p>
                      <w:p w14:paraId="0E321725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Did the organization have a deficit last year?</w:t>
                        </w:r>
                      </w:p>
                      <w:p w14:paraId="32AEA169" w14:textId="77777777" w:rsidR="00171720" w:rsidRPr="00401BEC" w:rsidRDefault="00171720" w:rsidP="00171720">
                        <w:pPr>
                          <w:spacing w:after="0" w:line="240" w:lineRule="auto"/>
                          <w:ind w:left="720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Narrative: </w:t>
                        </w:r>
                        <w:r w:rsidRPr="00401BEC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(attach up to one page for narrative):</w:t>
                        </w:r>
                      </w:p>
                      <w:p w14:paraId="09644275" w14:textId="5C0395C9" w:rsidR="00171720" w:rsidRPr="006354F7" w:rsidRDefault="00171720" w:rsidP="006354F7">
                        <w:pPr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440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Describe the Project (purpose, activities, population served, expected </w:t>
                        </w:r>
                        <w:r w:rsidRPr="006354F7"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  <w:t>outcomes.</w:t>
                        </w:r>
                      </w:p>
                      <w:p w14:paraId="6656298A" w14:textId="77777777" w:rsidR="00171720" w:rsidRPr="00401BEC" w:rsidRDefault="00171720" w:rsidP="00171720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440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Describe Organization (mission, history, any deficit from last year, etc.)</w:t>
                        </w:r>
                      </w:p>
                      <w:p w14:paraId="12848554" w14:textId="785BA1E4" w:rsidR="00171720" w:rsidRPr="00401BEC" w:rsidRDefault="00171720" w:rsidP="00171720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440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How would the money be spent? (</w:t>
                        </w:r>
                        <w:r w:rsidR="00EF55EB"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Exclude</w:t>
                        </w: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 compensation for ti</w:t>
                        </w:r>
                        <w:r w:rsidR="00EF55EB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me</w:t>
                        </w: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/wages)</w:t>
                        </w:r>
                      </w:p>
                      <w:p w14:paraId="00FB941A" w14:textId="114213D8" w:rsidR="00171720" w:rsidRPr="00401BEC" w:rsidRDefault="00171720" w:rsidP="00171720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440"/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Is this a civic or cultural enrichment, natural and historic preservation, parks and recreation, community development, youth and educational resources and/or </w:t>
                        </w:r>
                        <w:r w:rsidR="003602DD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 xml:space="preserve">general </w:t>
                        </w:r>
                        <w:r w:rsidRPr="00401BEC">
                          <w:rPr>
                            <w:rFonts w:ascii="Lato" w:eastAsia="Times New Roman" w:hAnsi="Lato" w:cs="Arial"/>
                            <w:color w:val="000000"/>
                            <w:sz w:val="24"/>
                            <w:szCs w:val="24"/>
                          </w:rPr>
                          <w:t>needs of the community project?</w:t>
                        </w:r>
                      </w:p>
                      <w:p w14:paraId="304587D3" w14:textId="77777777" w:rsidR="003602DD" w:rsidRDefault="003602DD" w:rsidP="00171720">
                        <w:pPr>
                          <w:spacing w:after="0" w:line="240" w:lineRule="auto"/>
                          <w:jc w:val="center"/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710EA143" w14:textId="77777777" w:rsidR="00171720" w:rsidRPr="00401BEC" w:rsidRDefault="00171720" w:rsidP="00171720">
                        <w:pPr>
                          <w:spacing w:after="0" w:line="240" w:lineRule="auto"/>
                          <w:rPr>
                            <w:rFonts w:ascii="Lato" w:eastAsia="Calibri" w:hAnsi="Lato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BEC">
                          <w:rPr>
                            <w:rFonts w:ascii="Lato" w:eastAsia="Calibri" w:hAnsi="Lato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       </w:t>
                        </w:r>
                      </w:p>
                    </w:tc>
                  </w:tr>
                  <w:tr w:rsidR="00A437C1" w:rsidRPr="00401BEC" w14:paraId="4973E4A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1" w:type="dxa"/>
                          <w:left w:w="551" w:type="dxa"/>
                          <w:bottom w:w="551" w:type="dxa"/>
                          <w:right w:w="551" w:type="dxa"/>
                        </w:tcMar>
                        <w:vAlign w:val="center"/>
                      </w:tcPr>
                      <w:p w14:paraId="57288B46" w14:textId="77777777" w:rsidR="00A437C1" w:rsidRDefault="00A437C1" w:rsidP="005B222E">
                        <w:pPr>
                          <w:spacing w:after="0" w:line="240" w:lineRule="auto"/>
                          <w:jc w:val="center"/>
                          <w:rPr>
                            <w:rFonts w:ascii="Lato" w:eastAsia="Calibri" w:hAnsi="Lato" w:cs="Arial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437C1" w:rsidRPr="00401BEC" w14:paraId="14F179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1" w:type="dxa"/>
                          <w:left w:w="551" w:type="dxa"/>
                          <w:bottom w:w="551" w:type="dxa"/>
                          <w:right w:w="551" w:type="dxa"/>
                        </w:tcMar>
                        <w:vAlign w:val="center"/>
                      </w:tcPr>
                      <w:p w14:paraId="7243250E" w14:textId="77777777" w:rsidR="00A437C1" w:rsidRDefault="00A437C1" w:rsidP="005B222E">
                        <w:pPr>
                          <w:spacing w:after="0" w:line="240" w:lineRule="auto"/>
                          <w:jc w:val="center"/>
                          <w:rPr>
                            <w:rFonts w:ascii="Lato" w:eastAsia="Calibri" w:hAnsi="Lato" w:cs="Arial"/>
                            <w:b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E8C4EDD" w14:textId="77777777" w:rsidR="00171720" w:rsidRPr="00401BEC" w:rsidRDefault="00171720" w:rsidP="00171720">
                  <w:pPr>
                    <w:spacing w:after="0" w:line="240" w:lineRule="auto"/>
                    <w:rPr>
                      <w:rFonts w:ascii="Lato" w:eastAsia="Times New Roman" w:hAnsi="Lato" w:cs="Arial"/>
                      <w:vanish/>
                      <w:sz w:val="24"/>
                      <w:szCs w:val="24"/>
                    </w:rPr>
                  </w:pPr>
                </w:p>
                <w:p w14:paraId="2AF66687" w14:textId="77777777" w:rsidR="00171720" w:rsidRPr="00401BEC" w:rsidRDefault="00171720" w:rsidP="0017172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1D035461" w14:textId="77777777" w:rsidR="00171720" w:rsidRPr="00401BEC" w:rsidRDefault="00171720" w:rsidP="00171720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</w:tbl>
    <w:p w14:paraId="6C2AC963" w14:textId="77777777" w:rsidR="00D612E1" w:rsidRDefault="00D612E1"/>
    <w:sectPr w:rsidR="00D612E1" w:rsidSect="00401B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3E5"/>
    <w:multiLevelType w:val="multilevel"/>
    <w:tmpl w:val="2AF8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530C"/>
    <w:multiLevelType w:val="multilevel"/>
    <w:tmpl w:val="56DC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95E0E"/>
    <w:multiLevelType w:val="multilevel"/>
    <w:tmpl w:val="F586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55BE1"/>
    <w:multiLevelType w:val="multilevel"/>
    <w:tmpl w:val="17E0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042B0"/>
    <w:multiLevelType w:val="multilevel"/>
    <w:tmpl w:val="290A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7497F"/>
    <w:multiLevelType w:val="multilevel"/>
    <w:tmpl w:val="8336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21019"/>
    <w:multiLevelType w:val="multilevel"/>
    <w:tmpl w:val="6CBC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434B3"/>
    <w:multiLevelType w:val="multilevel"/>
    <w:tmpl w:val="0F78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D0587"/>
    <w:multiLevelType w:val="multilevel"/>
    <w:tmpl w:val="7572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222FD"/>
    <w:multiLevelType w:val="multilevel"/>
    <w:tmpl w:val="F8D4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37D1C"/>
    <w:multiLevelType w:val="multilevel"/>
    <w:tmpl w:val="F6EA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96476"/>
    <w:multiLevelType w:val="multilevel"/>
    <w:tmpl w:val="A238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B3276"/>
    <w:multiLevelType w:val="multilevel"/>
    <w:tmpl w:val="3BFE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56F7D"/>
    <w:multiLevelType w:val="multilevel"/>
    <w:tmpl w:val="DBBE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487698">
    <w:abstractNumId w:val="10"/>
  </w:num>
  <w:num w:numId="2" w16cid:durableId="1127510627">
    <w:abstractNumId w:val="8"/>
  </w:num>
  <w:num w:numId="3" w16cid:durableId="2115592075">
    <w:abstractNumId w:val="9"/>
  </w:num>
  <w:num w:numId="4" w16cid:durableId="115874893">
    <w:abstractNumId w:val="11"/>
  </w:num>
  <w:num w:numId="5" w16cid:durableId="1609582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4973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5756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8213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653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762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0594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01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3953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1331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20"/>
    <w:rsid w:val="00171720"/>
    <w:rsid w:val="003602DD"/>
    <w:rsid w:val="00401BEC"/>
    <w:rsid w:val="004A0D4A"/>
    <w:rsid w:val="0053056D"/>
    <w:rsid w:val="005B222E"/>
    <w:rsid w:val="005F6067"/>
    <w:rsid w:val="006354F7"/>
    <w:rsid w:val="007039F9"/>
    <w:rsid w:val="0088243D"/>
    <w:rsid w:val="009D6461"/>
    <w:rsid w:val="00A16E34"/>
    <w:rsid w:val="00A437C1"/>
    <w:rsid w:val="00A444F2"/>
    <w:rsid w:val="00BC474E"/>
    <w:rsid w:val="00C6789C"/>
    <w:rsid w:val="00D612E1"/>
    <w:rsid w:val="00E0630B"/>
    <w:rsid w:val="00EF55EB"/>
    <w:rsid w:val="00F549BB"/>
    <w:rsid w:val="00F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1956"/>
  <w15:chartTrackingRefBased/>
  <w15:docId w15:val="{5D21C5B6-F07A-4692-B7E7-7B31E3CE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gunders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or Portage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Sobiek</dc:creator>
  <cp:keywords/>
  <dc:description/>
  <cp:lastModifiedBy>Julia Carabelli</cp:lastModifiedBy>
  <cp:revision>2</cp:revision>
  <cp:lastPrinted>2025-05-06T20:01:00Z</cp:lastPrinted>
  <dcterms:created xsi:type="dcterms:W3CDTF">2025-05-30T20:51:00Z</dcterms:created>
  <dcterms:modified xsi:type="dcterms:W3CDTF">2025-05-30T20:51:00Z</dcterms:modified>
</cp:coreProperties>
</file>